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EE6C4" w14:textId="77777777" w:rsidR="007C44E4" w:rsidRDefault="007C44E4" w:rsidP="007C44E4"/>
    <w:p w14:paraId="0E17CD7D" w14:textId="77777777" w:rsidR="007C44E4" w:rsidRPr="00365ECC" w:rsidRDefault="007C44E4" w:rsidP="007C44E4">
      <w:pPr>
        <w:rPr>
          <w:b/>
          <w:sz w:val="44"/>
          <w:szCs w:val="44"/>
          <w:u w:val="single"/>
        </w:rPr>
      </w:pPr>
      <w:r w:rsidRPr="00365ECC">
        <w:rPr>
          <w:b/>
          <w:sz w:val="44"/>
          <w:szCs w:val="44"/>
          <w:u w:val="single"/>
        </w:rPr>
        <w:t>TUTORIALES FORMULARIOS DE COMEX</w:t>
      </w:r>
    </w:p>
    <w:p w14:paraId="4232F78C" w14:textId="77777777" w:rsidR="007C44E4" w:rsidRDefault="007C44E4" w:rsidP="007C44E4">
      <w:pPr>
        <w:rPr>
          <w:b/>
          <w:u w:val="single"/>
        </w:rPr>
      </w:pPr>
    </w:p>
    <w:p w14:paraId="384F861C" w14:textId="77777777" w:rsidR="00365ECC" w:rsidRPr="00365ECC" w:rsidRDefault="00365ECC" w:rsidP="007C44E4">
      <w:pPr>
        <w:rPr>
          <w:b/>
          <w:sz w:val="32"/>
          <w:szCs w:val="32"/>
          <w:u w:val="single"/>
        </w:rPr>
      </w:pPr>
    </w:p>
    <w:p w14:paraId="5DD8A840" w14:textId="77777777" w:rsidR="007C44E4" w:rsidRPr="00365ECC" w:rsidRDefault="00833F73" w:rsidP="007C44E4">
      <w:pPr>
        <w:rPr>
          <w:b/>
          <w:sz w:val="32"/>
          <w:szCs w:val="32"/>
          <w:u w:val="single"/>
        </w:rPr>
      </w:pPr>
      <w:r>
        <w:rPr>
          <w:b/>
          <w:sz w:val="32"/>
          <w:szCs w:val="32"/>
          <w:u w:val="single"/>
        </w:rPr>
        <w:t xml:space="preserve">FORMULARIO PARA EL COBRO DE </w:t>
      </w:r>
      <w:r w:rsidR="00EB0B97">
        <w:rPr>
          <w:b/>
          <w:sz w:val="32"/>
          <w:szCs w:val="32"/>
          <w:u w:val="single"/>
        </w:rPr>
        <w:t xml:space="preserve">BIENES, </w:t>
      </w:r>
      <w:r w:rsidR="00C25423">
        <w:rPr>
          <w:b/>
          <w:sz w:val="32"/>
          <w:szCs w:val="32"/>
          <w:u w:val="single"/>
        </w:rPr>
        <w:t>SERVICIOS Y OTROS</w:t>
      </w:r>
      <w:r w:rsidR="007C44E4" w:rsidRPr="00365ECC">
        <w:rPr>
          <w:b/>
          <w:sz w:val="32"/>
          <w:szCs w:val="32"/>
          <w:u w:val="single"/>
        </w:rPr>
        <w:t>:</w:t>
      </w:r>
    </w:p>
    <w:p w14:paraId="5BBB9569" w14:textId="2AC36DEE" w:rsidR="007C44E4" w:rsidRDefault="007C44E4" w:rsidP="007C44E4"/>
    <w:p w14:paraId="588E1A71" w14:textId="7F62E05A" w:rsidR="009521F6" w:rsidRDefault="009521F6" w:rsidP="009521F6">
      <w:r>
        <w:t>A continuación, encontrará la</w:t>
      </w:r>
      <w:r w:rsidRPr="00A26CF5">
        <w:t xml:space="preserve"> guía para completar el formulario </w:t>
      </w:r>
      <w:r w:rsidRPr="00574598">
        <w:rPr>
          <w:b/>
        </w:rPr>
        <w:t xml:space="preserve">de </w:t>
      </w:r>
      <w:r>
        <w:rPr>
          <w:b/>
        </w:rPr>
        <w:t>compra</w:t>
      </w:r>
      <w:r w:rsidRPr="00574598">
        <w:rPr>
          <w:b/>
        </w:rPr>
        <w:t xml:space="preserve"> de cambio</w:t>
      </w:r>
      <w:r w:rsidRPr="00A26CF5">
        <w:t xml:space="preserve"> para el </w:t>
      </w:r>
      <w:r>
        <w:t xml:space="preserve">cobro de divisas desde el exterior </w:t>
      </w:r>
      <w:r w:rsidRPr="00A26CF5">
        <w:t>de</w:t>
      </w:r>
      <w:r>
        <w:t xml:space="preserve"> bienes y</w:t>
      </w:r>
      <w:r w:rsidRPr="00A26CF5">
        <w:t xml:space="preserve"> servicios</w:t>
      </w:r>
      <w:r>
        <w:t>.</w:t>
      </w:r>
    </w:p>
    <w:p w14:paraId="5E9954D0" w14:textId="2E29B0F4" w:rsidR="009521F6" w:rsidRPr="00A26CF5" w:rsidRDefault="009521F6" w:rsidP="009521F6">
      <w:r>
        <w:t xml:space="preserve"> Se </w:t>
      </w:r>
      <w:r w:rsidRPr="00A26CF5">
        <w:t xml:space="preserve">deberá seguir los pasos </w:t>
      </w:r>
      <w:r>
        <w:t>detallados a continuación</w:t>
      </w:r>
      <w:r w:rsidRPr="00A26CF5">
        <w:t xml:space="preserve"> </w:t>
      </w:r>
      <w:r>
        <w:t xml:space="preserve">en </w:t>
      </w:r>
      <w:r w:rsidRPr="00A26CF5">
        <w:t>la solicitud</w:t>
      </w:r>
      <w:r>
        <w:t xml:space="preserve"> </w:t>
      </w:r>
      <w:r w:rsidRPr="00D147F0">
        <w:rPr>
          <w:b/>
          <w:bCs/>
          <w:u w:val="single"/>
        </w:rPr>
        <w:t>CEXCEX0</w:t>
      </w:r>
      <w:r w:rsidR="00D147F0">
        <w:rPr>
          <w:b/>
          <w:bCs/>
          <w:u w:val="single"/>
        </w:rPr>
        <w:t>1</w:t>
      </w:r>
      <w:r>
        <w:t>.</w:t>
      </w:r>
      <w:r w:rsidRPr="00A26CF5">
        <w:t xml:space="preserve"> </w:t>
      </w:r>
    </w:p>
    <w:p w14:paraId="265CFE22" w14:textId="77777777" w:rsidR="009521F6" w:rsidRDefault="009521F6" w:rsidP="007C44E4"/>
    <w:p w14:paraId="465FC824" w14:textId="598068A8" w:rsidR="00833F73" w:rsidRPr="00A05F5E" w:rsidRDefault="00833F73" w:rsidP="00833F73">
      <w:pPr>
        <w:rPr>
          <w:b/>
          <w:color w:val="C00000"/>
        </w:rPr>
      </w:pPr>
      <w:r w:rsidRPr="00A05F5E">
        <w:rPr>
          <w:b/>
          <w:color w:val="C00000"/>
        </w:rPr>
        <w:t>Paso 1</w:t>
      </w:r>
      <w:r w:rsidR="009521F6" w:rsidRPr="00A05F5E">
        <w:rPr>
          <w:b/>
          <w:color w:val="C00000"/>
        </w:rPr>
        <w:t xml:space="preserve"> – Instrucciones generales</w:t>
      </w:r>
    </w:p>
    <w:p w14:paraId="0D9C3A3F" w14:textId="07BB822A" w:rsidR="009521F6" w:rsidRDefault="009521F6" w:rsidP="00365ECC">
      <w:r>
        <w:rPr>
          <w:noProof/>
        </w:rPr>
        <w:drawing>
          <wp:inline distT="0" distB="0" distL="0" distR="0" wp14:anchorId="3F7D3E5B" wp14:editId="5E025CEE">
            <wp:extent cx="5612130" cy="24212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2421255"/>
                    </a:xfrm>
                    <a:prstGeom prst="rect">
                      <a:avLst/>
                    </a:prstGeom>
                  </pic:spPr>
                </pic:pic>
              </a:graphicData>
            </a:graphic>
          </wp:inline>
        </w:drawing>
      </w:r>
    </w:p>
    <w:p w14:paraId="6D1B45E0" w14:textId="77777777" w:rsidR="003636EC" w:rsidRDefault="00C84CC5" w:rsidP="00B92218">
      <w:r>
        <w:t>1</w:t>
      </w:r>
      <w:r w:rsidR="003636EC">
        <w:t xml:space="preserve">- </w:t>
      </w:r>
      <w:r w:rsidR="00833F73">
        <w:t xml:space="preserve">Complete el nro de orden de pago que le ha sido asignado por el Banco en el espacio correspondiente </w:t>
      </w:r>
      <w:r w:rsidR="00833F73" w:rsidRPr="00C84CC5">
        <w:rPr>
          <w:b/>
        </w:rPr>
        <w:t>(</w:t>
      </w:r>
      <w:r w:rsidRPr="00C84CC5">
        <w:rPr>
          <w:b/>
        </w:rPr>
        <w:t xml:space="preserve">O. pago </w:t>
      </w:r>
      <w:r w:rsidR="00833F73" w:rsidRPr="00C84CC5">
        <w:rPr>
          <w:b/>
        </w:rPr>
        <w:t>N°</w:t>
      </w:r>
      <w:r>
        <w:rPr>
          <w:b/>
        </w:rPr>
        <w:t>)</w:t>
      </w:r>
      <w:r w:rsidR="00EB0B97">
        <w:rPr>
          <w:b/>
        </w:rPr>
        <w:t>/</w:t>
      </w:r>
      <w:r w:rsidR="00EB0B97" w:rsidRPr="00EB0B97">
        <w:t>CCE o COBE según corresponda</w:t>
      </w:r>
      <w:r w:rsidR="00833F73" w:rsidRPr="0078641A">
        <w:t>.</w:t>
      </w:r>
      <w:r w:rsidR="00833F73">
        <w:t xml:space="preserve"> Este número le ha sido notificado al mail que tenemos registrado. Por favor, recuerde informar cualquier cambio en su mail para futuros avisos. </w:t>
      </w:r>
    </w:p>
    <w:p w14:paraId="4A548A3A" w14:textId="77777777" w:rsidR="00EB6072" w:rsidRPr="003C1E2C" w:rsidRDefault="00EB6072" w:rsidP="00B92218">
      <w:pPr>
        <w:rPr>
          <w:color w:val="FF0000"/>
        </w:rPr>
      </w:pPr>
    </w:p>
    <w:p w14:paraId="2847BA8C" w14:textId="77777777" w:rsidR="00833F73" w:rsidRDefault="00C84CC5" w:rsidP="00833F73">
      <w:r>
        <w:t>2</w:t>
      </w:r>
      <w:r w:rsidR="00833F73">
        <w:t>-  Complete, en letras mayúsculas,  la moneda que figura en el mail que recibió con el nro de orden de pago en el espacio correspondiente, (</w:t>
      </w:r>
      <w:r w:rsidR="00833F73" w:rsidRPr="0078641A">
        <w:rPr>
          <w:b/>
        </w:rPr>
        <w:t>Moneda</w:t>
      </w:r>
      <w:r w:rsidR="00833F73" w:rsidRPr="0078641A">
        <w:t>).</w:t>
      </w:r>
    </w:p>
    <w:p w14:paraId="62CC60C7" w14:textId="77777777" w:rsidR="003636EC" w:rsidRDefault="003636EC" w:rsidP="00833F73"/>
    <w:p w14:paraId="55A99CEA" w14:textId="77777777" w:rsidR="00833F73" w:rsidRDefault="00C84CC5" w:rsidP="00833F73">
      <w:r>
        <w:t>3</w:t>
      </w:r>
      <w:r w:rsidR="00833F73">
        <w:t xml:space="preserve">-  Complete el importe en el espacio correspondiente </w:t>
      </w:r>
      <w:r w:rsidR="00833F73" w:rsidRPr="0078641A">
        <w:t>(</w:t>
      </w:r>
      <w:r w:rsidR="00833F73" w:rsidRPr="0078641A">
        <w:rPr>
          <w:b/>
        </w:rPr>
        <w:t>Importe</w:t>
      </w:r>
      <w:r w:rsidR="00833F73">
        <w:t>). Este importe no podrá ser mayor al que figura en el mail de notificación que recibió por parte del banco.</w:t>
      </w:r>
    </w:p>
    <w:p w14:paraId="66F5A90D" w14:textId="77777777" w:rsidR="003636EC" w:rsidRDefault="003636EC" w:rsidP="00833F73"/>
    <w:p w14:paraId="79635513" w14:textId="77777777" w:rsidR="00833F73" w:rsidRDefault="00C84CC5" w:rsidP="00833F73">
      <w:r>
        <w:t>4</w:t>
      </w:r>
      <w:r w:rsidR="00833F73">
        <w:t>- Complete en letras ma</w:t>
      </w:r>
      <w:r w:rsidR="00F81F45">
        <w:t xml:space="preserve">yúsculas, </w:t>
      </w:r>
      <w:r w:rsidR="00F81F45" w:rsidRPr="001469E4">
        <w:t>los</w:t>
      </w:r>
      <w:r w:rsidR="00833F73" w:rsidRPr="001469E4">
        <w:t xml:space="preserve"> datos</w:t>
      </w:r>
      <w:r w:rsidR="00F81F45" w:rsidRPr="001469E4">
        <w:t xml:space="preserve"> del solicitante</w:t>
      </w:r>
      <w:r w:rsidR="00833F73">
        <w:t xml:space="preserve"> (</w:t>
      </w:r>
      <w:r w:rsidR="00833F73" w:rsidRPr="0078641A">
        <w:rPr>
          <w:b/>
        </w:rPr>
        <w:t>Nombre y apellido o Razón Social</w:t>
      </w:r>
      <w:r w:rsidR="00833F73" w:rsidRPr="0078641A">
        <w:t>)</w:t>
      </w:r>
      <w:r w:rsidR="00DE64BB">
        <w:t xml:space="preserve"> en el espacio correspondiente.</w:t>
      </w:r>
    </w:p>
    <w:p w14:paraId="72C3B5AE" w14:textId="77777777" w:rsidR="003636EC" w:rsidRDefault="003636EC" w:rsidP="00833F73"/>
    <w:p w14:paraId="591DD71C" w14:textId="77777777" w:rsidR="00833F73" w:rsidRDefault="00C84CC5" w:rsidP="00833F73">
      <w:pPr>
        <w:rPr>
          <w:b/>
        </w:rPr>
      </w:pPr>
      <w:r>
        <w:t>5</w:t>
      </w:r>
      <w:r w:rsidR="00833F73">
        <w:t xml:space="preserve">-  </w:t>
      </w:r>
      <w:r w:rsidR="00FF1435">
        <w:t>Indique</w:t>
      </w:r>
      <w:r w:rsidR="00833F73">
        <w:t xml:space="preserve"> qué tipo de documento usará (</w:t>
      </w:r>
      <w:r w:rsidR="00833F73" w:rsidRPr="0078641A">
        <w:rPr>
          <w:b/>
        </w:rPr>
        <w:t>CUIT, CUIL, CDI, DNI, Pasaporte u Otro</w:t>
      </w:r>
      <w:r w:rsidR="00833F73" w:rsidRPr="0078641A">
        <w:t>)</w:t>
      </w:r>
      <w:r w:rsidR="00833F73">
        <w:t xml:space="preserve"> y  complete ese nro de documento </w:t>
      </w:r>
      <w:r w:rsidR="00833F73" w:rsidRPr="0078641A">
        <w:t>(</w:t>
      </w:r>
      <w:r w:rsidR="00833F73" w:rsidRPr="0078641A">
        <w:rPr>
          <w:b/>
        </w:rPr>
        <w:t>N° de documento)</w:t>
      </w:r>
      <w:r w:rsidR="00F81F45">
        <w:rPr>
          <w:b/>
        </w:rPr>
        <w:t>.</w:t>
      </w:r>
    </w:p>
    <w:p w14:paraId="68D23399" w14:textId="77777777" w:rsidR="003636EC" w:rsidRDefault="003636EC" w:rsidP="00833F73">
      <w:pPr>
        <w:rPr>
          <w:b/>
        </w:rPr>
      </w:pPr>
    </w:p>
    <w:p w14:paraId="63125A08" w14:textId="77777777" w:rsidR="00833F73" w:rsidRPr="00525116" w:rsidRDefault="003636EC" w:rsidP="00833F73">
      <w:pPr>
        <w:rPr>
          <w:color w:val="FF0000"/>
        </w:rPr>
      </w:pPr>
      <w:r>
        <w:rPr>
          <w:color w:val="000000" w:themeColor="text1"/>
        </w:rPr>
        <w:t>6</w:t>
      </w:r>
      <w:r w:rsidR="00271352">
        <w:rPr>
          <w:color w:val="000000" w:themeColor="text1"/>
        </w:rPr>
        <w:t xml:space="preserve">- </w:t>
      </w:r>
      <w:r w:rsidR="00833F73">
        <w:t>Tilde el tipo de cuenta a acreditar (</w:t>
      </w:r>
      <w:r w:rsidR="00F26F18">
        <w:rPr>
          <w:b/>
        </w:rPr>
        <w:t>Cuenta Corriente /</w:t>
      </w:r>
      <w:r w:rsidR="00833F73" w:rsidRPr="0078641A">
        <w:rPr>
          <w:b/>
        </w:rPr>
        <w:t>Caja de Ahorro</w:t>
      </w:r>
      <w:r w:rsidR="00F26F18">
        <w:rPr>
          <w:b/>
        </w:rPr>
        <w:t xml:space="preserve"> en pesos o Cuenta Corriente/Caja de ahorro en dólares</w:t>
      </w:r>
      <w:r w:rsidR="00833F73" w:rsidRPr="0078641A">
        <w:t>)</w:t>
      </w:r>
      <w:r w:rsidR="00833F73">
        <w:t xml:space="preserve"> y coloque el nro de cuenta completo.</w:t>
      </w:r>
      <w:r w:rsidR="00525116">
        <w:t xml:space="preserve"> </w:t>
      </w:r>
    </w:p>
    <w:p w14:paraId="5214E2DC" w14:textId="601934D3" w:rsidR="00833F73" w:rsidRPr="009521F6" w:rsidRDefault="00C84CC5" w:rsidP="00833F73">
      <w:pPr>
        <w:rPr>
          <w:bCs/>
        </w:rPr>
      </w:pPr>
      <w:r>
        <w:t>7</w:t>
      </w:r>
      <w:r w:rsidR="00833F73">
        <w:t>- Tilde la autorización para debitar gastos y comisiones de una de sus cuentas, y coloque el nro de esa cuent</w:t>
      </w:r>
      <w:r w:rsidR="00F81F45">
        <w:t xml:space="preserve">a en el espacio correspondiente </w:t>
      </w:r>
      <w:r w:rsidR="00F81F45" w:rsidRPr="00F81F45">
        <w:rPr>
          <w:b/>
        </w:rPr>
        <w:t>(Caja de ahorros/Cta. Cte en pesos N°)</w:t>
      </w:r>
      <w:r w:rsidR="00F81F45">
        <w:rPr>
          <w:b/>
        </w:rPr>
        <w:t>.</w:t>
      </w:r>
      <w:r w:rsidR="009521F6">
        <w:rPr>
          <w:b/>
        </w:rPr>
        <w:t xml:space="preserve"> En caso de no completar esta información, se debitarán los gastos y comisiones de la cuenta indicada para acreditar el principal de la operación (punto 6).</w:t>
      </w:r>
    </w:p>
    <w:p w14:paraId="064FF8BA" w14:textId="77777777" w:rsidR="00EB0B97" w:rsidRDefault="00EB0B97" w:rsidP="00EB0B97">
      <w:r>
        <w:t xml:space="preserve">8- Si corresponde aplicar los fondos a </w:t>
      </w:r>
      <w:r w:rsidRPr="00C83446">
        <w:t>la cancelación de</w:t>
      </w:r>
      <w:r>
        <w:rPr>
          <w:color w:val="FF0000"/>
        </w:rPr>
        <w:t xml:space="preserve"> </w:t>
      </w:r>
      <w:r>
        <w:t>una prefinanciación de exportaciones coloque el tilde en el espacio correspondiente (</w:t>
      </w:r>
      <w:r w:rsidRPr="004E65B5">
        <w:rPr>
          <w:b/>
        </w:rPr>
        <w:t>Aplicar fondos a cancelar la prefinanciación)</w:t>
      </w:r>
      <w:r>
        <w:t xml:space="preserve"> e ingrese el nro asignado por el banco a su operación financiada que figura en el comprobante de liquidación. </w:t>
      </w:r>
    </w:p>
    <w:p w14:paraId="4505B323" w14:textId="77777777" w:rsidR="00EB0B97" w:rsidRDefault="00EB0B97" w:rsidP="00EB0B97">
      <w:r>
        <w:t xml:space="preserve">Si su operación no cancela prefinanciación desestime completar este punto </w:t>
      </w:r>
    </w:p>
    <w:p w14:paraId="1638617D" w14:textId="77777777" w:rsidR="00BA58C5" w:rsidRDefault="00BA58C5" w:rsidP="00833F73">
      <w:pPr>
        <w:rPr>
          <w:b/>
          <w:sz w:val="28"/>
          <w:szCs w:val="28"/>
        </w:rPr>
      </w:pPr>
    </w:p>
    <w:p w14:paraId="5511286E" w14:textId="77777777" w:rsidR="00157651" w:rsidRDefault="00833F73" w:rsidP="00833F73">
      <w:pPr>
        <w:rPr>
          <w:b/>
          <w:color w:val="C00000"/>
        </w:rPr>
      </w:pPr>
      <w:r w:rsidRPr="00A05F5E">
        <w:rPr>
          <w:b/>
          <w:color w:val="C00000"/>
        </w:rPr>
        <w:t>Paso 2</w:t>
      </w:r>
      <w:r w:rsidR="009521F6" w:rsidRPr="00A05F5E">
        <w:rPr>
          <w:b/>
          <w:color w:val="C00000"/>
        </w:rPr>
        <w:t xml:space="preserve"> – Boleto</w:t>
      </w:r>
      <w:r w:rsidR="00157651">
        <w:rPr>
          <w:b/>
          <w:color w:val="C00000"/>
        </w:rPr>
        <w:t>s</w:t>
      </w:r>
    </w:p>
    <w:p w14:paraId="0C00C8BD" w14:textId="30C38EB8" w:rsidR="00833F73" w:rsidRPr="00157651" w:rsidRDefault="00157651" w:rsidP="00833F73">
      <w:pPr>
        <w:rPr>
          <w:b/>
        </w:rPr>
      </w:pPr>
      <w:r>
        <w:rPr>
          <w:b/>
        </w:rPr>
        <w:t xml:space="preserve">a. </w:t>
      </w:r>
      <w:r w:rsidRPr="00157651">
        <w:rPr>
          <w:b/>
        </w:rPr>
        <w:t>Boleto</w:t>
      </w:r>
      <w:r w:rsidR="009521F6" w:rsidRPr="00157651">
        <w:rPr>
          <w:b/>
        </w:rPr>
        <w:t xml:space="preserve"> de Compra de Cambio</w:t>
      </w:r>
    </w:p>
    <w:p w14:paraId="46845902" w14:textId="6E985E9C" w:rsidR="007C44E4" w:rsidRDefault="00EC61E2" w:rsidP="007C44E4">
      <w:r>
        <w:t xml:space="preserve">Deberá completar el recuadro </w:t>
      </w:r>
      <w:r w:rsidRPr="00EC61E2">
        <w:rPr>
          <w:b/>
        </w:rPr>
        <w:t>“</w:t>
      </w:r>
      <w:r w:rsidR="009521F6">
        <w:rPr>
          <w:b/>
        </w:rPr>
        <w:t>Boleto</w:t>
      </w:r>
      <w:r w:rsidR="009521F6" w:rsidRPr="00EC61E2">
        <w:rPr>
          <w:b/>
        </w:rPr>
        <w:t xml:space="preserve"> </w:t>
      </w:r>
      <w:r w:rsidRPr="00EC61E2">
        <w:rPr>
          <w:b/>
        </w:rPr>
        <w:t>de Compra de Cambio”</w:t>
      </w:r>
      <w:r>
        <w:rPr>
          <w:b/>
        </w:rPr>
        <w:t xml:space="preserve"> </w:t>
      </w:r>
      <w:r w:rsidR="003636EC">
        <w:t>seleccionando el concepto</w:t>
      </w:r>
      <w:r w:rsidR="00157651">
        <w:t xml:space="preserve"> correspondiente al motivo del cobro/ingreso de los fondos</w:t>
      </w:r>
      <w:r w:rsidR="003636EC">
        <w:t xml:space="preserve"> desde el desplegable habilitado para tal fin:</w:t>
      </w:r>
    </w:p>
    <w:p w14:paraId="2E2A8D12" w14:textId="01E6A0C9" w:rsidR="009521F6" w:rsidRDefault="009521F6" w:rsidP="007C44E4">
      <w:r>
        <w:rPr>
          <w:noProof/>
        </w:rPr>
        <w:drawing>
          <wp:inline distT="0" distB="0" distL="0" distR="0" wp14:anchorId="07B2FF76" wp14:editId="0BB8E76A">
            <wp:extent cx="5612130" cy="566420"/>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66420"/>
                    </a:xfrm>
                    <a:prstGeom prst="rect">
                      <a:avLst/>
                    </a:prstGeom>
                  </pic:spPr>
                </pic:pic>
              </a:graphicData>
            </a:graphic>
          </wp:inline>
        </w:drawing>
      </w:r>
    </w:p>
    <w:p w14:paraId="44941144" w14:textId="4712ED94" w:rsidR="00157651" w:rsidRPr="00157651" w:rsidRDefault="00157651" w:rsidP="00157651">
      <w:pPr>
        <w:rPr>
          <w:b/>
        </w:rPr>
      </w:pPr>
      <w:r>
        <w:rPr>
          <w:b/>
        </w:rPr>
        <w:t xml:space="preserve">b. </w:t>
      </w:r>
      <w:r w:rsidRPr="00157651">
        <w:rPr>
          <w:b/>
        </w:rPr>
        <w:t xml:space="preserve">Boleto de </w:t>
      </w:r>
      <w:r>
        <w:rPr>
          <w:b/>
        </w:rPr>
        <w:t>Arbitraje / Canje</w:t>
      </w:r>
    </w:p>
    <w:p w14:paraId="2518A4C7" w14:textId="77777777" w:rsidR="00D147F0" w:rsidRDefault="00157651" w:rsidP="00157651">
      <w:r>
        <w:t xml:space="preserve">En caso de acreditaciones en cuenta dólar, deberá completar el recuadro </w:t>
      </w:r>
      <w:r w:rsidRPr="00EC61E2">
        <w:rPr>
          <w:b/>
        </w:rPr>
        <w:t>“</w:t>
      </w:r>
      <w:r w:rsidRPr="00157651">
        <w:rPr>
          <w:b/>
        </w:rPr>
        <w:t xml:space="preserve">Boleto de </w:t>
      </w:r>
      <w:r>
        <w:rPr>
          <w:b/>
        </w:rPr>
        <w:t>Arbitraje / Canje</w:t>
      </w:r>
      <w:r w:rsidRPr="00EC61E2">
        <w:rPr>
          <w:b/>
        </w:rPr>
        <w:t>”</w:t>
      </w:r>
      <w:r>
        <w:rPr>
          <w:b/>
        </w:rPr>
        <w:t xml:space="preserve"> </w:t>
      </w:r>
      <w:r>
        <w:t xml:space="preserve">seleccionando el concepto desde el desplegable habilitado para tal fin. </w:t>
      </w:r>
    </w:p>
    <w:p w14:paraId="7F673B6F" w14:textId="2B689657" w:rsidR="00157651" w:rsidRDefault="00157651" w:rsidP="00157651">
      <w:r w:rsidRPr="00157651">
        <w:rPr>
          <w:i/>
          <w:iCs/>
        </w:rPr>
        <w:t xml:space="preserve">En caso de tratarse de acreditación en cuenta dólar de cobros de exportaciones de servicios habilitados para el cobro en dólares y dentro de los límites previstos, el concepto correspondiente es el </w:t>
      </w:r>
      <w:r w:rsidRPr="00D147F0">
        <w:rPr>
          <w:b/>
          <w:bCs/>
          <w:i/>
          <w:iCs/>
          <w:color w:val="C00000"/>
        </w:rPr>
        <w:t>A22</w:t>
      </w:r>
      <w:r w:rsidRPr="00157651">
        <w:rPr>
          <w:i/>
          <w:iCs/>
        </w:rPr>
        <w:t>. En el resto de los casos de acreditaciones en cuenta dólar, corresponde el A10</w:t>
      </w:r>
    </w:p>
    <w:p w14:paraId="514A6923" w14:textId="629362B9" w:rsidR="00AE008B" w:rsidRPr="00157651" w:rsidRDefault="00157651" w:rsidP="00157651">
      <w:pPr>
        <w:rPr>
          <w:b/>
          <w:color w:val="000000" w:themeColor="text1"/>
        </w:rPr>
      </w:pPr>
      <w:r>
        <w:rPr>
          <w:noProof/>
        </w:rPr>
        <w:drawing>
          <wp:inline distT="0" distB="0" distL="0" distR="0" wp14:anchorId="4B3F3297" wp14:editId="64D3B9D8">
            <wp:extent cx="5612130" cy="8350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835025"/>
                    </a:xfrm>
                    <a:prstGeom prst="rect">
                      <a:avLst/>
                    </a:prstGeom>
                  </pic:spPr>
                </pic:pic>
              </a:graphicData>
            </a:graphic>
          </wp:inline>
        </w:drawing>
      </w:r>
    </w:p>
    <w:p w14:paraId="2EB03CE2" w14:textId="5A86F7E3" w:rsidR="000D2721" w:rsidRPr="00A05F5E" w:rsidRDefault="005A4FD6" w:rsidP="000D2721">
      <w:pPr>
        <w:rPr>
          <w:b/>
          <w:color w:val="C00000"/>
        </w:rPr>
      </w:pPr>
      <w:r w:rsidRPr="00A05F5E">
        <w:rPr>
          <w:b/>
          <w:color w:val="C00000"/>
        </w:rPr>
        <w:t>Paso 3</w:t>
      </w:r>
    </w:p>
    <w:p w14:paraId="3A1C636C" w14:textId="74DC0767" w:rsidR="004E543D" w:rsidRDefault="004E543D" w:rsidP="00A05F5E">
      <w:pPr>
        <w:pStyle w:val="ListParagraph"/>
        <w:numPr>
          <w:ilvl w:val="0"/>
          <w:numId w:val="12"/>
        </w:numPr>
        <w:jc w:val="both"/>
        <w:rPr>
          <w:color w:val="000000" w:themeColor="text1"/>
        </w:rPr>
      </w:pPr>
      <w:r w:rsidRPr="004E543D">
        <w:rPr>
          <w:color w:val="000000" w:themeColor="text1"/>
        </w:rPr>
        <w:t>Si el concepto es B01</w:t>
      </w:r>
      <w:r>
        <w:rPr>
          <w:color w:val="000000" w:themeColor="text1"/>
        </w:rPr>
        <w:t xml:space="preserve"> “Cobros de exportaciones de bienes”</w:t>
      </w:r>
      <w:r w:rsidRPr="004E543D">
        <w:rPr>
          <w:color w:val="000000" w:themeColor="text1"/>
        </w:rPr>
        <w:t xml:space="preserve">, adicionalmente deberá descargar el Anexo en </w:t>
      </w:r>
      <w:hyperlink r:id="rId10" w:history="1">
        <w:r w:rsidRPr="00E33EFF">
          <w:rPr>
            <w:rStyle w:val="Hyperlink"/>
          </w:rPr>
          <w:t>https://www.comex.icbc.com.ar/documentosicbc</w:t>
        </w:r>
      </w:hyperlink>
      <w:r>
        <w:rPr>
          <w:color w:val="000000" w:themeColor="text1"/>
        </w:rPr>
        <w:t xml:space="preserve"> y presentarlo junto con la operación, detallando en el mismo la información correspondiente a los permisos de embarque</w:t>
      </w:r>
      <w:r w:rsidR="009521F6">
        <w:rPr>
          <w:color w:val="000000" w:themeColor="text1"/>
        </w:rPr>
        <w:t xml:space="preserve"> (Archivo </w:t>
      </w:r>
      <w:r w:rsidR="009521F6" w:rsidRPr="009521F6">
        <w:rPr>
          <w:color w:val="000000" w:themeColor="text1"/>
        </w:rPr>
        <w:t>CEXCEX01ANEXO</w:t>
      </w:r>
      <w:r w:rsidR="009521F6">
        <w:rPr>
          <w:color w:val="000000" w:themeColor="text1"/>
        </w:rPr>
        <w:t>)</w:t>
      </w:r>
      <w:r>
        <w:rPr>
          <w:color w:val="000000" w:themeColor="text1"/>
        </w:rPr>
        <w:t>.</w:t>
      </w:r>
    </w:p>
    <w:p w14:paraId="6E1EFE59" w14:textId="77777777" w:rsidR="004E543D" w:rsidRDefault="004E543D" w:rsidP="00A05F5E">
      <w:pPr>
        <w:pStyle w:val="ListParagraph"/>
        <w:jc w:val="both"/>
        <w:rPr>
          <w:color w:val="000000" w:themeColor="text1"/>
        </w:rPr>
      </w:pPr>
    </w:p>
    <w:p w14:paraId="76D95DEB" w14:textId="4FC528ED" w:rsidR="00D147F0" w:rsidRPr="00A05F5E" w:rsidRDefault="00D147F0" w:rsidP="00D147F0">
      <w:pPr>
        <w:rPr>
          <w:b/>
          <w:color w:val="C00000"/>
        </w:rPr>
      </w:pPr>
      <w:r w:rsidRPr="00A05F5E">
        <w:rPr>
          <w:b/>
          <w:color w:val="C00000"/>
        </w:rPr>
        <w:t xml:space="preserve">Paso </w:t>
      </w:r>
      <w:r>
        <w:rPr>
          <w:b/>
          <w:color w:val="C00000"/>
        </w:rPr>
        <w:t>4</w:t>
      </w:r>
    </w:p>
    <w:p w14:paraId="762347F2" w14:textId="6C7DA871" w:rsidR="004E543D" w:rsidRDefault="004E543D" w:rsidP="00A05F5E">
      <w:pPr>
        <w:pStyle w:val="ListParagraph"/>
        <w:numPr>
          <w:ilvl w:val="0"/>
          <w:numId w:val="12"/>
        </w:numPr>
        <w:jc w:val="both"/>
        <w:rPr>
          <w:color w:val="000000" w:themeColor="text1"/>
        </w:rPr>
      </w:pPr>
      <w:r>
        <w:rPr>
          <w:color w:val="000000" w:themeColor="text1"/>
        </w:rPr>
        <w:t>Si el concepto es B02 “Cobro anticipado de exportaciones de bienes” o B03 “Financiaciones del exterior por exportación de bienes”, deberá completar el cuadro con el detalle de la denominación del acreedor (nombre</w:t>
      </w:r>
      <w:r w:rsidR="00D27251">
        <w:rPr>
          <w:color w:val="000000" w:themeColor="text1"/>
        </w:rPr>
        <w:t xml:space="preserve"> completo</w:t>
      </w:r>
      <w:r>
        <w:rPr>
          <w:color w:val="000000" w:themeColor="text1"/>
        </w:rPr>
        <w:t xml:space="preserve">), </w:t>
      </w:r>
      <w:r w:rsidR="00D27251">
        <w:rPr>
          <w:color w:val="000000" w:themeColor="text1"/>
        </w:rPr>
        <w:t xml:space="preserve">Tasa Nominal Anual (“TNA” sólo para los B03), </w:t>
      </w:r>
      <w:r>
        <w:rPr>
          <w:color w:val="000000" w:themeColor="text1"/>
        </w:rPr>
        <w:t xml:space="preserve">Tipo de acreedor (entidad financiera, cliente o empresa del mismo grupo), </w:t>
      </w:r>
      <w:r w:rsidR="001E5C3F">
        <w:rPr>
          <w:color w:val="000000" w:themeColor="text1"/>
        </w:rPr>
        <w:t>fecha de embarque estimada</w:t>
      </w:r>
      <w:r w:rsidR="00D27251">
        <w:rPr>
          <w:color w:val="000000" w:themeColor="text1"/>
        </w:rPr>
        <w:t xml:space="preserve"> o fecha de vencimiento</w:t>
      </w:r>
      <w:r w:rsidR="001E5C3F">
        <w:rPr>
          <w:color w:val="000000" w:themeColor="text1"/>
        </w:rPr>
        <w:t xml:space="preserve"> y designar</w:t>
      </w:r>
      <w:r w:rsidR="006459A3">
        <w:rPr>
          <w:color w:val="000000" w:themeColor="text1"/>
        </w:rPr>
        <w:t xml:space="preserve"> a un Banco para el seguimiento.</w:t>
      </w:r>
    </w:p>
    <w:p w14:paraId="337A47A0" w14:textId="77777777" w:rsidR="00D147F0" w:rsidRDefault="00D27251" w:rsidP="006459A3">
      <w:pPr>
        <w:rPr>
          <w:noProof/>
        </w:rPr>
      </w:pPr>
      <w:r w:rsidRPr="00D27251">
        <w:rPr>
          <w:noProof/>
        </w:rPr>
        <w:t xml:space="preserve"> </w:t>
      </w:r>
      <w:r>
        <w:rPr>
          <w:noProof/>
        </w:rPr>
        <w:drawing>
          <wp:inline distT="0" distB="0" distL="0" distR="0" wp14:anchorId="1AE9D9E1" wp14:editId="57EC7C5E">
            <wp:extent cx="5612130" cy="1674495"/>
            <wp:effectExtent l="0" t="0" r="762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674495"/>
                    </a:xfrm>
                    <a:prstGeom prst="rect">
                      <a:avLst/>
                    </a:prstGeom>
                  </pic:spPr>
                </pic:pic>
              </a:graphicData>
            </a:graphic>
          </wp:inline>
        </w:drawing>
      </w:r>
    </w:p>
    <w:p w14:paraId="099B0984" w14:textId="186865E1" w:rsidR="00D27251" w:rsidRPr="00A05F5E" w:rsidRDefault="00D27251" w:rsidP="006459A3">
      <w:pPr>
        <w:rPr>
          <w:b/>
          <w:color w:val="C00000"/>
        </w:rPr>
      </w:pPr>
      <w:r w:rsidRPr="00A05F5E">
        <w:rPr>
          <w:b/>
          <w:color w:val="C00000"/>
        </w:rPr>
        <w:t xml:space="preserve">Paso </w:t>
      </w:r>
      <w:r w:rsidR="00D147F0">
        <w:rPr>
          <w:b/>
          <w:color w:val="C00000"/>
        </w:rPr>
        <w:t>5</w:t>
      </w:r>
      <w:r w:rsidR="00A05F5E">
        <w:rPr>
          <w:b/>
          <w:color w:val="C00000"/>
        </w:rPr>
        <w:t xml:space="preserve"> – Vinculación.</w:t>
      </w:r>
    </w:p>
    <w:p w14:paraId="75F3D30C" w14:textId="32C9D2AD" w:rsidR="006459A3" w:rsidRPr="00A05F5E" w:rsidRDefault="00D27251" w:rsidP="00A05F5E">
      <w:pPr>
        <w:rPr>
          <w:color w:val="000000" w:themeColor="text1"/>
        </w:rPr>
      </w:pPr>
      <w:r>
        <w:rPr>
          <w:color w:val="000000" w:themeColor="text1"/>
        </w:rPr>
        <w:t>D</w:t>
      </w:r>
      <w:r w:rsidR="006459A3" w:rsidRPr="00A05F5E">
        <w:rPr>
          <w:color w:val="000000" w:themeColor="text1"/>
        </w:rPr>
        <w:t xml:space="preserve">eberá indicar obligatoriamente si la </w:t>
      </w:r>
      <w:r w:rsidR="008B2D35" w:rsidRPr="00A05F5E">
        <w:rPr>
          <w:color w:val="000000" w:themeColor="text1"/>
        </w:rPr>
        <w:t>operación se está realizando con una empresa vinculada según el punto 1.2.2 de las Normas sobre Grandes exposiciones al riesgo de crédito.</w:t>
      </w:r>
      <w:r w:rsidR="006459A3" w:rsidRPr="00A05F5E">
        <w:rPr>
          <w:color w:val="000000" w:themeColor="text1"/>
        </w:rPr>
        <w:t xml:space="preserve"> </w:t>
      </w:r>
    </w:p>
    <w:p w14:paraId="25F45DD6" w14:textId="77777777" w:rsidR="006459A3" w:rsidRPr="006459A3" w:rsidRDefault="006459A3" w:rsidP="006459A3">
      <w:pPr>
        <w:rPr>
          <w:color w:val="000000" w:themeColor="text1"/>
        </w:rPr>
      </w:pPr>
      <w:r>
        <w:rPr>
          <w:noProof/>
          <w:lang w:eastAsia="es-AR"/>
        </w:rPr>
        <w:drawing>
          <wp:inline distT="0" distB="0" distL="0" distR="0" wp14:anchorId="580C55EE" wp14:editId="6C497ACD">
            <wp:extent cx="5612130" cy="390525"/>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90525"/>
                    </a:xfrm>
                    <a:prstGeom prst="rect">
                      <a:avLst/>
                    </a:prstGeom>
                  </pic:spPr>
                </pic:pic>
              </a:graphicData>
            </a:graphic>
          </wp:inline>
        </w:drawing>
      </w:r>
    </w:p>
    <w:p w14:paraId="2AC09291" w14:textId="3BFB2919" w:rsidR="004E543D" w:rsidRDefault="004E543D" w:rsidP="004E543D">
      <w:pPr>
        <w:rPr>
          <w:color w:val="000000" w:themeColor="text1"/>
        </w:rPr>
      </w:pPr>
    </w:p>
    <w:p w14:paraId="327DEE75" w14:textId="00722B55" w:rsidR="008B2D35" w:rsidRPr="00A05F5E" w:rsidRDefault="008B2D35" w:rsidP="008B2D35">
      <w:pPr>
        <w:rPr>
          <w:b/>
          <w:color w:val="C00000"/>
        </w:rPr>
      </w:pPr>
      <w:r w:rsidRPr="00A05F5E">
        <w:rPr>
          <w:b/>
          <w:color w:val="C00000"/>
        </w:rPr>
        <w:t xml:space="preserve">Paso </w:t>
      </w:r>
      <w:r w:rsidR="00D147F0">
        <w:rPr>
          <w:b/>
          <w:color w:val="C00000"/>
        </w:rPr>
        <w:t>6</w:t>
      </w:r>
      <w:r w:rsidR="00D27251" w:rsidRPr="00A05F5E">
        <w:rPr>
          <w:b/>
          <w:color w:val="C00000"/>
        </w:rPr>
        <w:t xml:space="preserve"> – DATOS DE CONTACTO Y FIRMA</w:t>
      </w:r>
    </w:p>
    <w:p w14:paraId="391BE701" w14:textId="77777777" w:rsidR="00D27251" w:rsidRPr="00A05F5E" w:rsidRDefault="00D27251" w:rsidP="00D27251">
      <w:pPr>
        <w:rPr>
          <w:bCs/>
        </w:rPr>
      </w:pPr>
      <w:r w:rsidRPr="00A05F5E">
        <w:rPr>
          <w:bCs/>
        </w:rPr>
        <w:t>Para finalizar, deberá:</w:t>
      </w:r>
    </w:p>
    <w:p w14:paraId="7E79E475" w14:textId="77777777" w:rsidR="00D27251" w:rsidRPr="00A05F5E" w:rsidRDefault="00D27251" w:rsidP="00D27251">
      <w:pPr>
        <w:rPr>
          <w:bCs/>
        </w:rPr>
      </w:pPr>
      <w:r w:rsidRPr="00A05F5E">
        <w:rPr>
          <w:bCs/>
        </w:rPr>
        <w:t xml:space="preserve">1. Consignar </w:t>
      </w:r>
      <w:r w:rsidRPr="00A05F5E">
        <w:rPr>
          <w:b/>
          <w:u w:val="single"/>
        </w:rPr>
        <w:t>datos de contacto</w:t>
      </w:r>
      <w:r w:rsidRPr="00A05F5E">
        <w:rPr>
          <w:bCs/>
        </w:rPr>
        <w:t>:</w:t>
      </w:r>
    </w:p>
    <w:p w14:paraId="253E4734" w14:textId="77777777" w:rsidR="00D27251" w:rsidRPr="00A05F5E" w:rsidRDefault="00D27251" w:rsidP="00D27251">
      <w:pPr>
        <w:rPr>
          <w:bCs/>
        </w:rPr>
      </w:pPr>
      <w:r w:rsidRPr="00A05F5E">
        <w:rPr>
          <w:bCs/>
        </w:rPr>
        <w:tab/>
        <w:t xml:space="preserve">a. Nombre y Apellido de la persona a quien contactar </w:t>
      </w:r>
    </w:p>
    <w:p w14:paraId="613E628A" w14:textId="77777777" w:rsidR="00D27251" w:rsidRPr="00A05F5E" w:rsidRDefault="00D27251" w:rsidP="00D27251">
      <w:pPr>
        <w:ind w:firstLine="708"/>
        <w:rPr>
          <w:bCs/>
        </w:rPr>
      </w:pPr>
      <w:r w:rsidRPr="00A05F5E">
        <w:rPr>
          <w:bCs/>
        </w:rPr>
        <w:t>b. Teléfono y dirección de e-mail de la persona indicada.</w:t>
      </w:r>
    </w:p>
    <w:p w14:paraId="6BA1CBFF" w14:textId="3157415E" w:rsidR="00D27251" w:rsidRDefault="00D27251" w:rsidP="008B2D35">
      <w:pPr>
        <w:rPr>
          <w:b/>
          <w:color w:val="000000" w:themeColor="text1"/>
          <w:sz w:val="28"/>
          <w:szCs w:val="28"/>
        </w:rPr>
      </w:pPr>
    </w:p>
    <w:p w14:paraId="7B7388F0" w14:textId="7068FF95" w:rsidR="00D27251" w:rsidRDefault="00D27251" w:rsidP="008B2D35">
      <w:pPr>
        <w:rPr>
          <w:b/>
          <w:color w:val="000000" w:themeColor="text1"/>
          <w:sz w:val="28"/>
          <w:szCs w:val="28"/>
        </w:rPr>
      </w:pPr>
      <w:r>
        <w:rPr>
          <w:noProof/>
        </w:rPr>
        <w:drawing>
          <wp:inline distT="0" distB="0" distL="0" distR="0" wp14:anchorId="214A1D32" wp14:editId="334EC85A">
            <wp:extent cx="3181350" cy="847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81350" cy="847725"/>
                    </a:xfrm>
                    <a:prstGeom prst="rect">
                      <a:avLst/>
                    </a:prstGeom>
                  </pic:spPr>
                </pic:pic>
              </a:graphicData>
            </a:graphic>
          </wp:inline>
        </w:drawing>
      </w:r>
    </w:p>
    <w:p w14:paraId="0721DDA2" w14:textId="4931DE9A" w:rsidR="00D27251" w:rsidRDefault="00D27251" w:rsidP="008B2D35">
      <w:pPr>
        <w:rPr>
          <w:b/>
          <w:color w:val="000000" w:themeColor="text1"/>
          <w:sz w:val="28"/>
          <w:szCs w:val="28"/>
        </w:rPr>
      </w:pPr>
    </w:p>
    <w:p w14:paraId="627E2DA7" w14:textId="4D1EC594" w:rsidR="00D27251" w:rsidRPr="00A05F5E" w:rsidRDefault="00D27251" w:rsidP="00D27251">
      <w:pPr>
        <w:rPr>
          <w:bCs/>
        </w:rPr>
      </w:pPr>
      <w:r w:rsidRPr="00A05F5E">
        <w:rPr>
          <w:bCs/>
        </w:rPr>
        <w:t xml:space="preserve">2. </w:t>
      </w:r>
      <w:r w:rsidR="00A05F5E" w:rsidRPr="00A05F5E">
        <w:rPr>
          <w:b/>
          <w:u w:val="single"/>
        </w:rPr>
        <w:t>Firma</w:t>
      </w:r>
      <w:r w:rsidRPr="00A05F5E">
        <w:rPr>
          <w:bCs/>
        </w:rPr>
        <w:t xml:space="preserve">: </w:t>
      </w:r>
    </w:p>
    <w:p w14:paraId="1DAA4AE5" w14:textId="638DB40F" w:rsidR="00D27251" w:rsidRDefault="00D27251" w:rsidP="00D27251">
      <w:pPr>
        <w:ind w:firstLine="708"/>
      </w:pPr>
      <w:r w:rsidRPr="00A05F5E">
        <w:rPr>
          <w:bCs/>
        </w:rPr>
        <w:t xml:space="preserve">A. </w:t>
      </w:r>
      <w:r w:rsidRPr="00A05F5E">
        <w:t>Firmar</w:t>
      </w:r>
      <w:r>
        <w:t xml:space="preserve"> por el titular de la operación (en caso de personas humanas) o apoderado/s (en caso de personas jurídicas o personas humanas que lo requieran) con poder amplio y general que permita realizar cierres de cambio.</w:t>
      </w:r>
    </w:p>
    <w:p w14:paraId="2907E3E6" w14:textId="77777777" w:rsidR="00D27251" w:rsidRDefault="00D27251" w:rsidP="00D27251">
      <w:pPr>
        <w:ind w:firstLine="708"/>
      </w:pPr>
      <w:r>
        <w:lastRenderedPageBreak/>
        <w:t>B. A</w:t>
      </w:r>
      <w:r w:rsidRPr="00A26CF5">
        <w:t xml:space="preserve">clarar la firma en letras mayúsculas y </w:t>
      </w:r>
      <w:r>
        <w:t>escribir el número de documento.</w:t>
      </w:r>
    </w:p>
    <w:p w14:paraId="193595BC" w14:textId="5FE43A40" w:rsidR="00D27251" w:rsidRDefault="00D27251" w:rsidP="008B2D35">
      <w:pPr>
        <w:rPr>
          <w:b/>
          <w:color w:val="000000" w:themeColor="text1"/>
          <w:sz w:val="28"/>
          <w:szCs w:val="28"/>
        </w:rPr>
      </w:pPr>
      <w:r>
        <w:rPr>
          <w:noProof/>
        </w:rPr>
        <w:drawing>
          <wp:inline distT="0" distB="0" distL="0" distR="0" wp14:anchorId="519B88A2" wp14:editId="56D59175">
            <wp:extent cx="2486025" cy="1838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6025" cy="1838325"/>
                    </a:xfrm>
                    <a:prstGeom prst="rect">
                      <a:avLst/>
                    </a:prstGeom>
                  </pic:spPr>
                </pic:pic>
              </a:graphicData>
            </a:graphic>
          </wp:inline>
        </w:drawing>
      </w:r>
    </w:p>
    <w:p w14:paraId="234BE76D" w14:textId="6B957E30" w:rsidR="000D2721" w:rsidRPr="000D2721" w:rsidRDefault="000D2721" w:rsidP="000D2721">
      <w:pPr>
        <w:rPr>
          <w:b/>
          <w:color w:val="000000" w:themeColor="text1"/>
        </w:rPr>
      </w:pPr>
    </w:p>
    <w:p w14:paraId="31F9F4AD" w14:textId="6986CA1F" w:rsidR="000D2721" w:rsidRDefault="000D2721" w:rsidP="00D27251">
      <w:pPr>
        <w:rPr>
          <w:b/>
          <w:color w:val="000000" w:themeColor="text1"/>
        </w:rPr>
      </w:pPr>
    </w:p>
    <w:p w14:paraId="40C95998" w14:textId="7247E4ED" w:rsidR="000D2721" w:rsidRDefault="000D2721" w:rsidP="00463969"/>
    <w:p w14:paraId="1AF4B18C" w14:textId="77777777" w:rsidR="00D27251" w:rsidRDefault="00D27251" w:rsidP="00463969"/>
    <w:p w14:paraId="12B47B5B" w14:textId="77777777" w:rsidR="00D27251" w:rsidRPr="00A05F5E" w:rsidRDefault="00D27251" w:rsidP="00D27251">
      <w:pPr>
        <w:rPr>
          <w:b/>
          <w:color w:val="C00000"/>
        </w:rPr>
      </w:pPr>
      <w:r w:rsidRPr="00A05F5E">
        <w:rPr>
          <w:b/>
          <w:color w:val="C00000"/>
        </w:rPr>
        <w:t>RECOMENDACIONES:</w:t>
      </w:r>
    </w:p>
    <w:p w14:paraId="30ED12A6" w14:textId="28464181" w:rsidR="00D27251" w:rsidRDefault="00D27251" w:rsidP="00A05F5E">
      <w:pPr>
        <w:pStyle w:val="ListParagraph"/>
        <w:numPr>
          <w:ilvl w:val="0"/>
          <w:numId w:val="14"/>
        </w:numPr>
        <w:jc w:val="both"/>
      </w:pPr>
      <w:r>
        <w:t>Recuerde adjuntar la documentación respaldatoria de la operación que se pretende realizar.</w:t>
      </w:r>
    </w:p>
    <w:p w14:paraId="1F91B002" w14:textId="77777777" w:rsidR="00A05F5E" w:rsidRDefault="00D27251" w:rsidP="00A05F5E">
      <w:pPr>
        <w:pStyle w:val="ListParagraph"/>
        <w:numPr>
          <w:ilvl w:val="0"/>
          <w:numId w:val="14"/>
        </w:numPr>
        <w:jc w:val="both"/>
      </w:pPr>
      <w:r>
        <w:t>En el presente tutorial se detallan aquellos apartados en los que es necesario realizar alguna acción por vuestra parte. Independientemente de ello, en la solicitud se incluyen otras declaraciones juradas. Por favor, revise la solicitud completa para constatar las mismas.</w:t>
      </w:r>
    </w:p>
    <w:p w14:paraId="3CB0667C" w14:textId="77777777" w:rsidR="00A05F5E" w:rsidRDefault="00D27251" w:rsidP="00A05F5E">
      <w:pPr>
        <w:pStyle w:val="ListParagraph"/>
        <w:numPr>
          <w:ilvl w:val="0"/>
          <w:numId w:val="14"/>
        </w:numPr>
        <w:jc w:val="both"/>
      </w:pPr>
      <w:r>
        <w:t>Links de ayuda:</w:t>
      </w:r>
      <w:r w:rsidR="00A05F5E">
        <w:t xml:space="preserve"> </w:t>
      </w:r>
    </w:p>
    <w:p w14:paraId="6189C592" w14:textId="53BE0AC7" w:rsidR="00D27251" w:rsidRDefault="00D27251" w:rsidP="00A05F5E">
      <w:pPr>
        <w:pStyle w:val="ListParagraph"/>
        <w:jc w:val="both"/>
      </w:pPr>
      <w:r>
        <w:t xml:space="preserve">Texto Ordenado de Exterior y Cambios: </w:t>
      </w:r>
      <w:hyperlink r:id="rId15" w:history="1">
        <w:r w:rsidRPr="00137331">
          <w:rPr>
            <w:rStyle w:val="Hyperlink"/>
          </w:rPr>
          <w:t>http://www.bcra.gov.ar/Pdfs/Texord/t-excbio.pdf</w:t>
        </w:r>
      </w:hyperlink>
    </w:p>
    <w:p w14:paraId="68F0B8D2" w14:textId="77777777" w:rsidR="00D27251" w:rsidRDefault="00D27251" w:rsidP="00D27251"/>
    <w:p w14:paraId="077EF22A" w14:textId="4B263B27" w:rsidR="005D77D3" w:rsidRDefault="005D77D3" w:rsidP="00D27251">
      <w:pPr>
        <w:rPr>
          <w:b/>
          <w:color w:val="000000" w:themeColor="text1"/>
        </w:rPr>
      </w:pPr>
    </w:p>
    <w:sectPr w:rsidR="005D77D3" w:rsidSect="00C27D63">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BD2A0" w14:textId="77777777" w:rsidR="00A05F5E" w:rsidRDefault="00A05F5E" w:rsidP="00A05F5E">
      <w:pPr>
        <w:spacing w:after="0"/>
      </w:pPr>
      <w:r>
        <w:separator/>
      </w:r>
    </w:p>
  </w:endnote>
  <w:endnote w:type="continuationSeparator" w:id="0">
    <w:p w14:paraId="3513331C" w14:textId="77777777" w:rsidR="00A05F5E" w:rsidRDefault="00A05F5E" w:rsidP="00A05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A541B" w14:textId="055DFE21" w:rsidR="00A05F5E" w:rsidRDefault="00A05F5E">
    <w:pPr>
      <w:pStyle w:val="Footer"/>
    </w:pPr>
    <w:r>
      <w:t xml:space="preserve">TUTORIAL Formulario Compra </w:t>
    </w:r>
    <w:r w:rsidR="00D147F0">
      <w:t>27</w:t>
    </w:r>
    <w:r>
      <w:t>.</w:t>
    </w:r>
    <w:r w:rsidR="00D147F0">
      <w:t>12</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E26B3" w14:textId="77777777" w:rsidR="00A05F5E" w:rsidRDefault="00A05F5E" w:rsidP="00A05F5E">
      <w:pPr>
        <w:spacing w:after="0"/>
      </w:pPr>
      <w:r>
        <w:separator/>
      </w:r>
    </w:p>
  </w:footnote>
  <w:footnote w:type="continuationSeparator" w:id="0">
    <w:p w14:paraId="703616FC" w14:textId="77777777" w:rsidR="00A05F5E" w:rsidRDefault="00A05F5E" w:rsidP="00A05F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B26ED"/>
    <w:multiLevelType w:val="hybridMultilevel"/>
    <w:tmpl w:val="DC66ADE8"/>
    <w:lvl w:ilvl="0" w:tplc="0142B7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A025CF"/>
    <w:multiLevelType w:val="hybridMultilevel"/>
    <w:tmpl w:val="5798C00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677F1C"/>
    <w:multiLevelType w:val="hybridMultilevel"/>
    <w:tmpl w:val="CF7A329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44424F7"/>
    <w:multiLevelType w:val="hybridMultilevel"/>
    <w:tmpl w:val="C32CF9A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90E6795"/>
    <w:multiLevelType w:val="hybridMultilevel"/>
    <w:tmpl w:val="13E0EC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D3F3934"/>
    <w:multiLevelType w:val="hybridMultilevel"/>
    <w:tmpl w:val="754C4E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69E429F"/>
    <w:multiLevelType w:val="hybridMultilevel"/>
    <w:tmpl w:val="C562EA9C"/>
    <w:lvl w:ilvl="0" w:tplc="808028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A4B33F2"/>
    <w:multiLevelType w:val="hybridMultilevel"/>
    <w:tmpl w:val="FC2246E0"/>
    <w:lvl w:ilvl="0" w:tplc="35FA3434">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F0177CA"/>
    <w:multiLevelType w:val="hybridMultilevel"/>
    <w:tmpl w:val="C8DEA6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0C8325D"/>
    <w:multiLevelType w:val="hybridMultilevel"/>
    <w:tmpl w:val="C3B8F0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18961A2"/>
    <w:multiLevelType w:val="hybridMultilevel"/>
    <w:tmpl w:val="29DE8C18"/>
    <w:lvl w:ilvl="0" w:tplc="11AAE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4E707F5"/>
    <w:multiLevelType w:val="hybridMultilevel"/>
    <w:tmpl w:val="E5D239A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74EA7AF4"/>
    <w:multiLevelType w:val="hybridMultilevel"/>
    <w:tmpl w:val="4F70FA1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E1E0AB7"/>
    <w:multiLevelType w:val="hybridMultilevel"/>
    <w:tmpl w:val="B4B4CACA"/>
    <w:lvl w:ilvl="0" w:tplc="ABCAE60A">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9"/>
  </w:num>
  <w:num w:numId="5">
    <w:abstractNumId w:val="8"/>
  </w:num>
  <w:num w:numId="6">
    <w:abstractNumId w:val="6"/>
  </w:num>
  <w:num w:numId="7">
    <w:abstractNumId w:val="5"/>
  </w:num>
  <w:num w:numId="8">
    <w:abstractNumId w:val="3"/>
  </w:num>
  <w:num w:numId="9">
    <w:abstractNumId w:val="11"/>
  </w:num>
  <w:num w:numId="10">
    <w:abstractNumId w:val="4"/>
  </w:num>
  <w:num w:numId="11">
    <w:abstractNumId w:val="13"/>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DpiWLeZkXh51RvXUw2rUNcw24TaItQNpy1JzaTzvy220lAoQ03JVGEDQcDu9ub2wAMM0trRtSnPevuu5t0048g==" w:salt="j+EJ/nyqstnoEvxVCH+fQ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E4"/>
    <w:rsid w:val="000839D0"/>
    <w:rsid w:val="000A6989"/>
    <w:rsid w:val="000D2721"/>
    <w:rsid w:val="000F5A8E"/>
    <w:rsid w:val="00122B55"/>
    <w:rsid w:val="001469E4"/>
    <w:rsid w:val="00157651"/>
    <w:rsid w:val="00166769"/>
    <w:rsid w:val="00175D5B"/>
    <w:rsid w:val="001C0AC8"/>
    <w:rsid w:val="001E5C3F"/>
    <w:rsid w:val="002539DC"/>
    <w:rsid w:val="00271352"/>
    <w:rsid w:val="002A0A49"/>
    <w:rsid w:val="002C44C1"/>
    <w:rsid w:val="002D7653"/>
    <w:rsid w:val="00354E96"/>
    <w:rsid w:val="003636EC"/>
    <w:rsid w:val="00365ECC"/>
    <w:rsid w:val="00404638"/>
    <w:rsid w:val="00463969"/>
    <w:rsid w:val="004B1E8B"/>
    <w:rsid w:val="004E543D"/>
    <w:rsid w:val="004E586C"/>
    <w:rsid w:val="004F1E64"/>
    <w:rsid w:val="00501595"/>
    <w:rsid w:val="00512F7B"/>
    <w:rsid w:val="00525116"/>
    <w:rsid w:val="005346E4"/>
    <w:rsid w:val="0055626E"/>
    <w:rsid w:val="005564EE"/>
    <w:rsid w:val="005A4FD6"/>
    <w:rsid w:val="005B4179"/>
    <w:rsid w:val="005D1996"/>
    <w:rsid w:val="005D77D3"/>
    <w:rsid w:val="006209A8"/>
    <w:rsid w:val="00635A20"/>
    <w:rsid w:val="006459A3"/>
    <w:rsid w:val="00666BCF"/>
    <w:rsid w:val="006D194C"/>
    <w:rsid w:val="006F2C29"/>
    <w:rsid w:val="007147C0"/>
    <w:rsid w:val="0078641A"/>
    <w:rsid w:val="00795193"/>
    <w:rsid w:val="007A4DAF"/>
    <w:rsid w:val="007C44E4"/>
    <w:rsid w:val="007D27F7"/>
    <w:rsid w:val="007E0622"/>
    <w:rsid w:val="007F3371"/>
    <w:rsid w:val="00833F73"/>
    <w:rsid w:val="0086153D"/>
    <w:rsid w:val="008A7798"/>
    <w:rsid w:val="008B2D35"/>
    <w:rsid w:val="009521F6"/>
    <w:rsid w:val="009851C3"/>
    <w:rsid w:val="00991BC5"/>
    <w:rsid w:val="00A05F5E"/>
    <w:rsid w:val="00AD0467"/>
    <w:rsid w:val="00AD7C30"/>
    <w:rsid w:val="00AE008B"/>
    <w:rsid w:val="00B1442B"/>
    <w:rsid w:val="00B641AD"/>
    <w:rsid w:val="00B92218"/>
    <w:rsid w:val="00BA58C5"/>
    <w:rsid w:val="00BB11B6"/>
    <w:rsid w:val="00C00AE1"/>
    <w:rsid w:val="00C15913"/>
    <w:rsid w:val="00C25423"/>
    <w:rsid w:val="00C27D63"/>
    <w:rsid w:val="00C5407F"/>
    <w:rsid w:val="00C84CC5"/>
    <w:rsid w:val="00D147F0"/>
    <w:rsid w:val="00D27251"/>
    <w:rsid w:val="00D407CD"/>
    <w:rsid w:val="00D66A6D"/>
    <w:rsid w:val="00DD1887"/>
    <w:rsid w:val="00DE64BB"/>
    <w:rsid w:val="00E96056"/>
    <w:rsid w:val="00EA00E3"/>
    <w:rsid w:val="00EB0B97"/>
    <w:rsid w:val="00EB6072"/>
    <w:rsid w:val="00EC61E2"/>
    <w:rsid w:val="00EE5AEF"/>
    <w:rsid w:val="00EE5B30"/>
    <w:rsid w:val="00EF5084"/>
    <w:rsid w:val="00F26F18"/>
    <w:rsid w:val="00F81F45"/>
    <w:rsid w:val="00F90659"/>
    <w:rsid w:val="00FF143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9DA5A"/>
  <w15:docId w15:val="{326A94DD-06B3-435E-829A-A2D7CE50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E4"/>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4E4"/>
    <w:pPr>
      <w:ind w:left="720"/>
      <w:contextualSpacing/>
    </w:pPr>
  </w:style>
  <w:style w:type="paragraph" w:styleId="BalloonText">
    <w:name w:val="Balloon Text"/>
    <w:basedOn w:val="Normal"/>
    <w:link w:val="BalloonTextChar"/>
    <w:uiPriority w:val="99"/>
    <w:semiHidden/>
    <w:unhideWhenUsed/>
    <w:rsid w:val="00365E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ECC"/>
    <w:rPr>
      <w:rFonts w:ascii="Tahoma" w:hAnsi="Tahoma" w:cs="Tahoma"/>
      <w:sz w:val="16"/>
      <w:szCs w:val="16"/>
    </w:rPr>
  </w:style>
  <w:style w:type="character" w:styleId="Hyperlink">
    <w:name w:val="Hyperlink"/>
    <w:basedOn w:val="DefaultParagraphFont"/>
    <w:uiPriority w:val="99"/>
    <w:unhideWhenUsed/>
    <w:rsid w:val="007D27F7"/>
    <w:rPr>
      <w:color w:val="0000FF" w:themeColor="hyperlink"/>
      <w:u w:val="single"/>
    </w:rPr>
  </w:style>
  <w:style w:type="paragraph" w:customStyle="1" w:styleId="Default">
    <w:name w:val="Default"/>
    <w:rsid w:val="00AD046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27251"/>
    <w:rPr>
      <w:color w:val="605E5C"/>
      <w:shd w:val="clear" w:color="auto" w:fill="E1DFDD"/>
    </w:rPr>
  </w:style>
  <w:style w:type="paragraph" w:styleId="Header">
    <w:name w:val="header"/>
    <w:basedOn w:val="Normal"/>
    <w:link w:val="HeaderChar"/>
    <w:uiPriority w:val="99"/>
    <w:unhideWhenUsed/>
    <w:rsid w:val="00A05F5E"/>
    <w:pPr>
      <w:tabs>
        <w:tab w:val="center" w:pos="4252"/>
        <w:tab w:val="right" w:pos="8504"/>
      </w:tabs>
      <w:spacing w:after="0"/>
    </w:pPr>
  </w:style>
  <w:style w:type="character" w:customStyle="1" w:styleId="HeaderChar">
    <w:name w:val="Header Char"/>
    <w:basedOn w:val="DefaultParagraphFont"/>
    <w:link w:val="Header"/>
    <w:uiPriority w:val="99"/>
    <w:rsid w:val="00A05F5E"/>
  </w:style>
  <w:style w:type="paragraph" w:styleId="Footer">
    <w:name w:val="footer"/>
    <w:basedOn w:val="Normal"/>
    <w:link w:val="FooterChar"/>
    <w:uiPriority w:val="99"/>
    <w:unhideWhenUsed/>
    <w:rsid w:val="00A05F5E"/>
    <w:pPr>
      <w:tabs>
        <w:tab w:val="center" w:pos="4252"/>
        <w:tab w:val="right" w:pos="8504"/>
      </w:tabs>
      <w:spacing w:after="0"/>
    </w:pPr>
  </w:style>
  <w:style w:type="character" w:customStyle="1" w:styleId="FooterChar">
    <w:name w:val="Footer Char"/>
    <w:basedOn w:val="DefaultParagraphFont"/>
    <w:link w:val="Footer"/>
    <w:uiPriority w:val="99"/>
    <w:rsid w:val="00A0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6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bcra.gov.ar/Pdfs/Texord/t-excbio.pdf" TargetMode="External"/><Relationship Id="rId10" Type="http://schemas.openxmlformats.org/officeDocument/2006/relationships/hyperlink" Target="https://www.comex.icbc.com.ar/documentosicb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4165</Characters>
  <Application>Microsoft Office Word</Application>
  <DocSecurity>8</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ICBC Argentina S.A.</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ICBC</dc:creator>
  <cp:lastModifiedBy>Fariza, Delfina</cp:lastModifiedBy>
  <cp:revision>2</cp:revision>
  <cp:lastPrinted>2017-12-04T12:46:00Z</cp:lastPrinted>
  <dcterms:created xsi:type="dcterms:W3CDTF">2023-01-05T16:29:00Z</dcterms:created>
  <dcterms:modified xsi:type="dcterms:W3CDTF">2023-01-05T16:29:00Z</dcterms:modified>
</cp:coreProperties>
</file>